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GUIDE  ·  FOR EDUCATORS</w:t>
      </w:r>
    </w:p>
    <w:p>
      <w:pPr>
        <w:pStyle w:val="Heading1"/>
      </w:pPr>
      <w:r>
        <w:t>Facilitator guide</w:t>
      </w:r>
    </w:p>
    <w:p>
      <w:r>
        <w:t>This guide helps tutors and facilitators run the Re-AI programme online, blended or in workshops. Learners are adults with low or mixed digital skills, at about CEFR B1 English.</w:t>
      </w:r>
    </w:p>
    <w:p>
      <w:pPr>
        <w:pStyle w:val="Heading2"/>
      </w:pPr>
      <w:r>
        <w:t>Programme at a glance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1F1E76"/>
          </w:tcPr>
          <w:p>
            <w:r>
              <w:rPr>
                <w:b/>
                <w:color w:val="FFFFFF"/>
              </w:rPr>
              <w:t>Module</w:t>
            </w:r>
          </w:p>
        </w:tc>
        <w:tc>
          <w:tcPr>
            <w:tcW w:type="dxa" w:w="1928"/>
            <w:shd w:val="clear" w:fill="1F1E76"/>
          </w:tcPr>
          <w:p>
            <w:r>
              <w:rPr>
                <w:b/>
                <w:color w:val="FFFFFF"/>
              </w:rPr>
              <w:t>Title</w:t>
            </w:r>
          </w:p>
        </w:tc>
        <w:tc>
          <w:tcPr>
            <w:tcW w:type="dxa" w:w="1928"/>
            <w:shd w:val="clear" w:fill="1F1E76"/>
          </w:tcPr>
          <w:p>
            <w:r>
              <w:rPr>
                <w:b/>
                <w:color w:val="FFFFFF"/>
              </w:rPr>
              <w:t>Hours</w:t>
            </w:r>
          </w:p>
        </w:tc>
        <w:tc>
          <w:tcPr>
            <w:tcW w:type="dxa" w:w="1928"/>
            <w:shd w:val="clear" w:fill="1F1E76"/>
          </w:tcPr>
          <w:p>
            <w:r>
              <w:rPr>
                <w:b/>
                <w:color w:val="FFFFFF"/>
              </w:rPr>
              <w:t>Exercises</w:t>
            </w:r>
          </w:p>
        </w:tc>
        <w:tc>
          <w:tcPr>
            <w:tcW w:type="dxa" w:w="1928"/>
            <w:shd w:val="clear" w:fill="1F1E76"/>
          </w:tcPr>
          <w:p>
            <w:r>
              <w:rPr>
                <w:b/>
                <w:color w:val="FFFFFF"/>
              </w:rPr>
              <w:t>Suggested weeks</w:t>
            </w:r>
          </w:p>
        </w:tc>
      </w:tr>
      <w:tr>
        <w:tc>
          <w:tcPr>
            <w:tcW w:type="dxa" w:w="1928"/>
          </w:tcPr>
          <w:p>
            <w:r>
              <w:rPr>
                <w:sz w:val="20"/>
              </w:rPr>
              <w:t>1</w:t>
            </w:r>
          </w:p>
        </w:tc>
        <w:tc>
          <w:tcPr>
            <w:tcW w:type="dxa" w:w="1928"/>
          </w:tcPr>
          <w:p>
            <w:r>
              <w:rPr>
                <w:sz w:val="20"/>
              </w:rPr>
              <w:t>Introduction to AI &amp; Digital Tools for Remote Work</w:t>
            </w:r>
          </w:p>
        </w:tc>
        <w:tc>
          <w:tcPr>
            <w:tcW w:type="dxa" w:w="1928"/>
          </w:tcPr>
          <w:p>
            <w:r>
              <w:rPr>
                <w:sz w:val="20"/>
              </w:rPr>
              <w:t>8</w:t>
            </w:r>
          </w:p>
        </w:tc>
        <w:tc>
          <w:tcPr>
            <w:tcW w:type="dxa" w:w="1928"/>
          </w:tcPr>
          <w:p>
            <w:r>
              <w:rPr>
                <w:sz w:val="20"/>
              </w:rPr>
              <w:t>EX 1.1–1.3</w:t>
            </w:r>
          </w:p>
        </w:tc>
        <w:tc>
          <w:tcPr>
            <w:tcW w:type="dxa" w:w="1928"/>
          </w:tcPr>
          <w:p>
            <w:r>
              <w:rPr>
                <w:sz w:val="20"/>
              </w:rPr>
              <w:t>1–2</w:t>
            </w:r>
          </w:p>
        </w:tc>
      </w:tr>
      <w:tr>
        <w:tc>
          <w:tcPr>
            <w:tcW w:type="dxa" w:w="1928"/>
          </w:tcPr>
          <w:p>
            <w:r>
              <w:rPr>
                <w:sz w:val="20"/>
              </w:rPr>
              <w:t>2</w:t>
            </w:r>
          </w:p>
        </w:tc>
        <w:tc>
          <w:tcPr>
            <w:tcW w:type="dxa" w:w="1928"/>
          </w:tcPr>
          <w:p>
            <w:r>
              <w:rPr>
                <w:sz w:val="20"/>
              </w:rPr>
              <w:t>AI for Productivity &amp; Work Optimisation</w:t>
            </w:r>
          </w:p>
        </w:tc>
        <w:tc>
          <w:tcPr>
            <w:tcW w:type="dxa" w:w="1928"/>
          </w:tcPr>
          <w:p>
            <w:r>
              <w:rPr>
                <w:sz w:val="20"/>
              </w:rPr>
              <w:t>9</w:t>
            </w:r>
          </w:p>
        </w:tc>
        <w:tc>
          <w:tcPr>
            <w:tcW w:type="dxa" w:w="1928"/>
          </w:tcPr>
          <w:p>
            <w:r>
              <w:rPr>
                <w:sz w:val="20"/>
              </w:rPr>
              <w:t>EX 2.1–2.3</w:t>
            </w:r>
          </w:p>
        </w:tc>
        <w:tc>
          <w:tcPr>
            <w:tcW w:type="dxa" w:w="1928"/>
          </w:tcPr>
          <w:p>
            <w:r>
              <w:rPr>
                <w:sz w:val="20"/>
              </w:rPr>
              <w:t>3–4</w:t>
            </w:r>
          </w:p>
        </w:tc>
      </w:tr>
      <w:tr>
        <w:tc>
          <w:tcPr>
            <w:tcW w:type="dxa" w:w="1928"/>
          </w:tcPr>
          <w:p>
            <w:r>
              <w:rPr>
                <w:sz w:val="20"/>
              </w:rPr>
              <w:t>3</w:t>
            </w:r>
          </w:p>
        </w:tc>
        <w:tc>
          <w:tcPr>
            <w:tcW w:type="dxa" w:w="1928"/>
          </w:tcPr>
          <w:p>
            <w:r>
              <w:rPr>
                <w:sz w:val="20"/>
              </w:rPr>
              <w:t>AI for Career Development &amp; Employability</w:t>
            </w:r>
          </w:p>
        </w:tc>
        <w:tc>
          <w:tcPr>
            <w:tcW w:type="dxa" w:w="1928"/>
          </w:tcPr>
          <w:p>
            <w:r>
              <w:rPr>
                <w:sz w:val="20"/>
              </w:rPr>
              <w:t>10</w:t>
            </w:r>
          </w:p>
        </w:tc>
        <w:tc>
          <w:tcPr>
            <w:tcW w:type="dxa" w:w="1928"/>
          </w:tcPr>
          <w:p>
            <w:r>
              <w:rPr>
                <w:sz w:val="20"/>
              </w:rPr>
              <w:t>EX 3.1–3.3</w:t>
            </w:r>
          </w:p>
        </w:tc>
        <w:tc>
          <w:tcPr>
            <w:tcW w:type="dxa" w:w="1928"/>
          </w:tcPr>
          <w:p>
            <w:r>
              <w:rPr>
                <w:sz w:val="20"/>
              </w:rPr>
              <w:t>5–6</w:t>
            </w:r>
          </w:p>
        </w:tc>
      </w:tr>
      <w:tr>
        <w:tc>
          <w:tcPr>
            <w:tcW w:type="dxa" w:w="1928"/>
          </w:tcPr>
          <w:p>
            <w:r>
              <w:rPr>
                <w:sz w:val="20"/>
              </w:rPr>
              <w:t>4</w:t>
            </w:r>
          </w:p>
        </w:tc>
        <w:tc>
          <w:tcPr>
            <w:tcW w:type="dxa" w:w="1928"/>
          </w:tcPr>
          <w:p>
            <w:r>
              <w:rPr>
                <w:sz w:val="20"/>
              </w:rPr>
              <w:t>Advanced AI Applications for Digital Work &amp; Entrepreneurship</w:t>
            </w:r>
          </w:p>
        </w:tc>
        <w:tc>
          <w:tcPr>
            <w:tcW w:type="dxa" w:w="1928"/>
          </w:tcPr>
          <w:p>
            <w:r>
              <w:rPr>
                <w:sz w:val="20"/>
              </w:rPr>
              <w:t>13</w:t>
            </w:r>
          </w:p>
        </w:tc>
        <w:tc>
          <w:tcPr>
            <w:tcW w:type="dxa" w:w="1928"/>
          </w:tcPr>
          <w:p>
            <w:r>
              <w:rPr>
                <w:sz w:val="20"/>
              </w:rPr>
              <w:t>EX 4.1–4.4 + capstone</w:t>
            </w:r>
          </w:p>
        </w:tc>
        <w:tc>
          <w:tcPr>
            <w:tcW w:type="dxa" w:w="1928"/>
          </w:tcPr>
          <w:p>
            <w:r>
              <w:rPr>
                <w:sz w:val="20"/>
              </w:rPr>
              <w:t>7–9</w:t>
            </w:r>
          </w:p>
        </w:tc>
      </w:tr>
    </w:tbl>
    <w:p/>
    <w:p>
      <w:pPr>
        <w:pStyle w:val="Heading2"/>
      </w:pPr>
      <w:r>
        <w:t>Assessment rules</w:t>
      </w:r>
    </w:p>
    <w:p>
      <w:pPr>
        <w:pStyle w:val="ListBullet"/>
      </w:pPr>
      <w:r>
        <w:t>Quiz per module: 70% pass mark, unlimited retakes. Passing unlocks the next module.</w:t>
      </w:r>
    </w:p>
    <w:p>
      <w:pPr>
        <w:pStyle w:val="ListBullet"/>
      </w:pPr>
      <w:r>
        <w:t>Exercises: 60% pass, which means at least 3 of the 4 criteria are met.</w:t>
      </w:r>
    </w:p>
    <w:p>
      <w:pPr>
        <w:pStyle w:val="ListBullet"/>
      </w:pPr>
      <w:r>
        <w:t>Capstone: one of 3 pathways (A chatbot, B data report, C business plan), 60% pass, plus a 400-word reflection (pass / fail).</w:t>
      </w:r>
    </w:p>
    <w:p>
      <w:pPr>
        <w:pStyle w:val="ListBullet"/>
      </w:pPr>
      <w:r>
        <w:t>Weighting: exercises 55%, capstone 35%, reflection 10%.</w:t>
      </w:r>
    </w:p>
    <w:p>
      <w:pPr>
        <w:pStyle w:val="ListBullet"/>
      </w:pPr>
      <w:r>
        <w:t>Certificates: one per module and a programme certificate, issued automatically when requirements are met.</w:t>
      </w:r>
    </w:p>
    <w:p>
      <w:pPr>
        <w:pStyle w:val="Heading2"/>
      </w:pPr>
      <w:r>
        <w:t>Reviewing submissions on the platform</w:t>
      </w:r>
    </w:p>
    <w:p>
      <w:pPr>
        <w:pStyle w:val="ListBullet"/>
      </w:pPr>
      <w:r>
        <w:t>Open each submission and check it against the 4 criteria for that exercise.</w:t>
      </w:r>
    </w:p>
    <w:p>
      <w:pPr>
        <w:pStyle w:val="ListBullet"/>
      </w:pPr>
      <w:r>
        <w:t>Choose 'Approve' when at least 3 criteria are met.</w:t>
      </w:r>
    </w:p>
    <w:p>
      <w:pPr>
        <w:pStyle w:val="ListBullet"/>
      </w:pPr>
      <w:r>
        <w:t>Choose 'Needs improvement' when fewer are met, and write feedback: one strength, one clear thing to fix, one next step.</w:t>
      </w:r>
    </w:p>
    <w:p>
      <w:pPr>
        <w:pStyle w:val="ListBullet"/>
      </w:pPr>
      <w:r>
        <w:t>Learners can resubmit. Try to review within the time your organisation agreed.</w:t>
      </w:r>
    </w:p>
    <w:p>
      <w:pPr>
        <w:pStyle w:val="Heading2"/>
      </w:pPr>
      <w:r>
        <w:t>Supporting learners</w:t>
      </w:r>
    </w:p>
    <w:p>
      <w:pPr>
        <w:pStyle w:val="ListBullet"/>
      </w:pPr>
      <w:r>
        <w:t>Low digital confidence: preview key words, use the captioned videos and annotated tool guides, and offer a 1:1 check-in at the end of each module.</w:t>
      </w:r>
    </w:p>
    <w:p>
      <w:pPr>
        <w:pStyle w:val="ListBullet"/>
      </w:pPr>
      <w:r>
        <w:t>Moderate confidence: use the peer forum and one extension task per module.</w:t>
      </w:r>
    </w:p>
    <w:p>
      <w:pPr>
        <w:pStyle w:val="ListBullet"/>
      </w:pPr>
      <w:r>
        <w:t>High confidence: let them move faster and try extensions such as an independent ethics audit or prompt chaining.</w:t>
      </w:r>
    </w:p>
    <w:p>
      <w:pPr>
        <w:pStyle w:val="ListBullet"/>
      </w:pPr>
      <w:r>
        <w:t>No laptop: most tasks work on a smartphone or tablet; point learners to local digital access schemes.</w:t>
      </w:r>
    </w:p>
    <w:p>
      <w:pPr>
        <w:pStyle w:val="Heading2"/>
      </w:pPr>
      <w:r>
        <w:t>Safety and data protection</w:t>
      </w:r>
    </w:p>
    <w:p>
      <w:pPr>
        <w:spacing w:after="60"/>
      </w:pPr>
      <w:r>
        <w:rPr>
          <w:color w:val="2563EB"/>
          <w:sz w:val="24"/>
        </w:rPr>
        <w:t xml:space="preserve">☐  </w:t>
      </w:r>
      <w:r>
        <w:t>Learners never submit passwords or real customer data.</w:t>
      </w:r>
    </w:p>
    <w:p>
      <w:pPr>
        <w:spacing w:after="60"/>
      </w:pPr>
      <w:r>
        <w:rPr>
          <w:color w:val="2563EB"/>
          <w:sz w:val="24"/>
        </w:rPr>
        <w:t xml:space="preserve">☐  </w:t>
      </w:r>
      <w:r>
        <w:t>Learners only check their own email addresses for breaches.</w:t>
      </w:r>
    </w:p>
    <w:p>
      <w:pPr>
        <w:spacing w:after="60"/>
      </w:pPr>
      <w:r>
        <w:rPr>
          <w:color w:val="2563EB"/>
          <w:sz w:val="24"/>
        </w:rPr>
        <w:t xml:space="preserve">☐  </w:t>
      </w:r>
      <w:r>
        <w:t>Recordings (EX 2.3) need the agreement of everyone recorded.</w:t>
      </w:r>
    </w:p>
    <w:p>
      <w:pPr>
        <w:spacing w:after="60"/>
      </w:pPr>
      <w:r>
        <w:rPr>
          <w:color w:val="2563EB"/>
          <w:sz w:val="24"/>
        </w:rPr>
        <w:t xml:space="preserve">☐  </w:t>
      </w:r>
      <w:r>
        <w:t>Learners use free tiers and read the tool's data terms first.</w:t>
      </w:r>
    </w:p>
    <w:p>
      <w:pPr>
        <w:pStyle w:val="Heading2"/>
      </w:pPr>
      <w:r>
        <w:t>Facilitator notes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Group name and dates</w:t>
            </w:r>
          </w:p>
        </w:tc>
        <w:tc>
          <w:tcPr>
            <w:tcW w:type="dxa" w:w="6520"/>
          </w:tcPr>
          <w:p>
            <w:r>
              <w:t xml:space="preserve"> </w:t>
            </w:r>
          </w:p>
        </w:tc>
      </w:tr>
      <w:tr>
        <w:tc>
          <w:tcPr>
            <w:tcW w:type="dxa" w:w="3118"/>
            <w:shd w:val="clear" w:fill="EEF3FF"/>
          </w:tcPr>
          <w:p>
            <w:r>
              <w:rPr>
                <w:b/>
              </w:rPr>
              <w:t>Main tools I will demonstrate</w:t>
            </w:r>
          </w:p>
        </w:tc>
        <w:tc>
          <w:tcPr>
            <w:tcW w:type="dxa" w:w="6520"/>
          </w:tcPr>
          <w:p>
            <w:r>
              <w:t xml:space="preserve"> </w:t>
            </w:r>
          </w:p>
        </w:tc>
      </w:tr>
      <w:tr>
        <w:tc>
          <w:tcPr>
            <w:tcW w:type="dxa" w:w="3118"/>
            <w:shd w:val="clear" w:fill="EEF3FF"/>
          </w:tcPr>
          <w:p>
            <w:r>
              <w:rPr>
                <w:b/>
              </w:rPr>
              <w:t>Learners who need extra support</w:t>
            </w:r>
          </w:p>
        </w:tc>
        <w:tc>
          <w:tcPr>
            <w:tcW w:type="dxa" w:w="6520"/>
          </w:tcPr>
          <w:p>
            <w:r>
              <w:t xml:space="preserve"> </w:t>
            </w:r>
          </w:p>
        </w:tc>
      </w:tr>
      <w:tr>
        <w:tc>
          <w:tcPr>
            <w:tcW w:type="dxa" w:w="3118"/>
            <w:shd w:val="clear" w:fill="EEF3FF"/>
          </w:tcPr>
          <w:p>
            <w:r>
              <w:rPr>
                <w:b/>
              </w:rPr>
              <w:t>My contact hours</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